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1"/>
        <w:numPr>
          <w:ilvl w:val="0"/>
          <w:numId w:val="2"/>
        </w:numPr>
        <w:ind w:left="0" w:hanging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Minisymposium Title</w:t>
      </w:r>
    </w:p>
    <w:p>
      <w:pPr>
        <w:pStyle w:val="Heading1"/>
        <w:numPr>
          <w:ilvl w:val="0"/>
          <w:numId w:val="2"/>
        </w:numPr>
        <w:ind w:left="0" w:hanging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First A. Author</w:t>
      </w:r>
      <w:r>
        <w:rPr>
          <w:rFonts w:ascii="Times New Roman" w:hAnsi="Times New Roman"/>
          <w:sz w:val="24"/>
          <w:szCs w:val="24"/>
          <w:vertAlign w:val="superscript"/>
        </w:rPr>
        <w:t>*</w:t>
      </w:r>
      <w:r>
        <w:rPr>
          <w:rFonts w:ascii="Times New Roman" w:hAnsi="Times New Roman"/>
          <w:sz w:val="24"/>
          <w:szCs w:val="24"/>
        </w:rPr>
        <w:t>, Second B. Author</w:t>
      </w:r>
      <w:r>
        <w:rPr>
          <w:rFonts w:ascii="Times New Roman" w:hAnsi="Times New Roman"/>
          <w:sz w:val="24"/>
          <w:szCs w:val="24"/>
          <w:vertAlign w:val="superscript"/>
        </w:rPr>
        <w:t xml:space="preserve">† </w:t>
      </w:r>
      <w:r>
        <w:rPr>
          <w:rFonts w:ascii="Times New Roman" w:hAnsi="Times New Roman"/>
          <w:sz w:val="24"/>
          <w:szCs w:val="24"/>
        </w:rPr>
        <w:t>and Third C. Author</w:t>
      </w:r>
      <w:r>
        <w:rPr>
          <w:rFonts w:ascii="Times New Roman" w:hAnsi="Times New Roman"/>
          <w:sz w:val="24"/>
          <w:szCs w:val="24"/>
          <w:vertAlign w:val="superscript"/>
        </w:rPr>
        <w:t>†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* Affiliation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Postal Address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E-mail address and URL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† </w:t>
      </w:r>
      <w:r>
        <w:rPr>
          <w:rFonts w:ascii="Times New Roman" w:hAnsi="Times New Roman"/>
          <w:sz w:val="22"/>
          <w:szCs w:val="22"/>
        </w:rPr>
        <w:t>Affiliation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Postal Address</w:t>
      </w:r>
    </w:p>
    <w:p>
      <w:pPr>
        <w:pStyle w:val="Normal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E-mail address and URL</w:t>
      </w:r>
    </w:p>
    <w:p>
      <w:pPr>
        <w:pStyle w:val="Normal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</w:p>
    <w:p>
      <w:pPr>
        <w:pStyle w:val="Normal"/>
        <w:rPr/>
      </w:pPr>
      <w:r>
        <w:rPr/>
      </w:r>
    </w:p>
    <w:p>
      <w:pPr>
        <w:pStyle w:val="Title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ABSTRACT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Organizers of MS proposals are requested to upload an abstract of approximately 400 words (1 page) no later than </w:t>
      </w:r>
      <w:r>
        <w:rPr>
          <w:rFonts w:ascii="Times New Roman" w:hAnsi="Times New Roman"/>
          <w:b/>
          <w:bCs/>
          <w:sz w:val="22"/>
          <w:szCs w:val="22"/>
        </w:rPr>
        <w:t>1 July 202</w:t>
      </w:r>
      <w:r>
        <w:rPr>
          <w:rFonts w:ascii="Times New Roman" w:hAnsi="Times New Roman"/>
          <w:b/>
          <w:bCs/>
          <w:sz w:val="22"/>
          <w:szCs w:val="22"/>
        </w:rPr>
        <w:t>7</w:t>
      </w:r>
      <w:r>
        <w:rPr>
          <w:rFonts w:ascii="Times New Roman" w:hAnsi="Times New Roman"/>
          <w:sz w:val="22"/>
          <w:szCs w:val="22"/>
        </w:rPr>
        <w:t xml:space="preserve">, following the format of this template. 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The abstract should briefly illustrate the contents and objectives of the Minisymposium. The list of prospective speakers is not required.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For practical reasons, each MS shall have a Corresponding Organizer, who will submit the MS proposal and keep in contact with the Conference Secretariat, and one or more Co-organizers.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Each MS should consist of a minimum of one Session (6 presentations of 20 minutes each). The number of Sessions for a MS will be determined by the number of papers submitted. A MS cannot be split in parallel sessions.</w:t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Normal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For </w:t>
      </w:r>
      <w:r>
        <w:rPr>
          <w:rFonts w:ascii="Times New Roman" w:hAnsi="Times New Roman"/>
          <w:b/>
          <w:bCs/>
          <w:sz w:val="22"/>
          <w:szCs w:val="22"/>
        </w:rPr>
        <w:t>Minisymposia of at least two sessions</w:t>
      </w:r>
      <w:r>
        <w:rPr>
          <w:rFonts w:ascii="Times New Roman" w:hAnsi="Times New Roman"/>
          <w:sz w:val="22"/>
          <w:szCs w:val="22"/>
        </w:rPr>
        <w:t xml:space="preserve">, the MS Organizers have the possibility to propose a maximum of </w:t>
      </w:r>
      <w:r>
        <w:rPr>
          <w:rFonts w:ascii="Times New Roman" w:hAnsi="Times New Roman"/>
          <w:b/>
          <w:bCs/>
          <w:sz w:val="22"/>
          <w:szCs w:val="22"/>
        </w:rPr>
        <w:t>two Keynote Lecturers</w:t>
      </w:r>
      <w:r>
        <w:rPr>
          <w:rFonts w:ascii="Times New Roman" w:hAnsi="Times New Roman"/>
          <w:sz w:val="22"/>
          <w:szCs w:val="22"/>
        </w:rPr>
        <w:t>. Since Sessions are subdivided into 20 minutes slots, the format will consist of 2 consecutive Keynote Lectures of 30 minutes each in the same Session plus 3 invited papers of 20 minutes each.</w:t>
      </w:r>
    </w:p>
    <w:p>
      <w:pPr>
        <w:pStyle w:val="Normal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</w:p>
    <w:p>
      <w:pPr>
        <w:pStyle w:val="PreformattedText"/>
        <w:spacing w:before="0" w:after="0"/>
        <w:ind w:left="0" w:right="0" w:hanging="0"/>
        <w:rPr/>
      </w:pPr>
      <w:r>
        <w:rPr>
          <w:rFonts w:ascii="Times New Roman" w:hAnsi="Times New Roman"/>
          <w:color w:val="000000"/>
          <w:sz w:val="22"/>
          <w:szCs w:val="22"/>
        </w:rPr>
        <w:t>Minisymposium proposal can be submitted via email to the Conference Secretariat</w:t>
      </w:r>
      <w:r>
        <w:rPr>
          <w:rFonts w:ascii="Times New Roman" w:hAnsi="Times New Roman"/>
          <w:sz w:val="22"/>
          <w:szCs w:val="22"/>
        </w:rPr>
        <w:t xml:space="preserve">: </w:t>
      </w:r>
      <w:hyperlink r:id="rId2">
        <w:r>
          <w:rPr>
            <w:rStyle w:val="InternetLink"/>
            <w:rFonts w:ascii="Times New Roman" w:hAnsi="Times New Roman"/>
            <w:sz w:val="22"/>
            <w:szCs w:val="22"/>
          </w:rPr>
          <w:t>africomp@uct.ac.za</w:t>
        </w:r>
      </w:hyperlink>
    </w:p>
    <w:p>
      <w:pPr>
        <w:pStyle w:val="Normal"/>
        <w:rPr/>
      </w:pPr>
      <w:r>
        <w:rPr/>
      </w:r>
    </w:p>
    <w:p>
      <w:pPr>
        <w:pStyle w:val="Title"/>
        <w:jc w:val="left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REFERENCES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396" w:leader="none"/>
        </w:tabs>
        <w:ind w:left="397" w:right="0" w:hanging="397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Taylor, R. L., Simo, J. C., Zienkiewicz, O. C., &amp; Chan, A. C. H. (1986). The patch test–a condition for assessing FEM convergence. International journal for numerical methods in engineering, 22(1), 39-62.</w:t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396" w:leader="none"/>
        </w:tabs>
        <w:ind w:left="397" w:right="0" w:hanging="397"/>
        <w:rPr/>
      </w:pPr>
      <w:r>
        <w:rPr>
          <w:rFonts w:ascii="Times New Roman" w:hAnsi="Times New Roman"/>
          <w:sz w:val="22"/>
          <w:szCs w:val="22"/>
        </w:rPr>
        <w:t>Thomas, D. N. (Ed.). (2017). Sea ice. John Wiley &amp; Sons.</w:t>
      </w:r>
    </w:p>
    <w:sectPr>
      <w:headerReference w:type="default" r:id="rId3"/>
      <w:type w:val="nextPage"/>
      <w:pgSz w:w="11906" w:h="16838"/>
      <w:pgMar w:left="1134" w:right="1134" w:gutter="0" w:header="1134" w:top="1831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>
        <w:b/>
        <w:sz w:val="18"/>
        <w:szCs w:val="18"/>
        <w:lang w:val="en-US"/>
      </w:rPr>
      <w:t>8</w:t>
    </w:r>
    <w:bookmarkStart w:id="0" w:name="__DdeLink__82_573755295"/>
    <w:r>
      <w:rPr>
        <w:b/>
        <w:sz w:val="18"/>
        <w:szCs w:val="18"/>
        <w:vertAlign w:val="superscript"/>
        <w:lang w:val="en-US"/>
      </w:rPr>
      <w:t>th</w:t>
    </w:r>
    <w:r>
      <w:rPr>
        <w:b/>
        <w:sz w:val="18"/>
        <w:szCs w:val="18"/>
        <w:lang w:val="en-US"/>
      </w:rPr>
      <w:t xml:space="preserve"> African Conference on Computational Mechanics (AfriComp</w:t>
    </w:r>
    <w:r>
      <w:rPr>
        <w:b/>
        <w:sz w:val="18"/>
        <w:szCs w:val="18"/>
        <w:lang w:val="en-US"/>
      </w:rPr>
      <w:t>8</w:t>
    </w:r>
    <w:r>
      <w:rPr>
        <w:b/>
        <w:sz w:val="18"/>
        <w:szCs w:val="18"/>
        <w:lang w:val="en-US"/>
      </w:rPr>
      <w:t>)</w:t>
    </w:r>
  </w:p>
  <w:p>
    <w:pPr>
      <w:pStyle w:val="Header"/>
      <w:jc w:val="right"/>
      <w:rPr>
        <w:rFonts w:ascii="Times New Roman" w:hAnsi="Times New Roman"/>
        <w:b/>
        <w:b/>
        <w:bCs/>
        <w:sz w:val="18"/>
        <w:szCs w:val="18"/>
      </w:rPr>
    </w:pP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>1</w:t>
    </w:r>
    <w:r>
      <w:rPr>
        <w:rFonts w:ascii="Times New Roman" w:hAnsi="Times New Roman"/>
        <w:b/>
        <w:bCs/>
        <w:i/>
        <w:color w:val="000000"/>
        <w:sz w:val="18"/>
        <w:szCs w:val="18"/>
        <w:vertAlign w:val="superscript"/>
        <w:lang w:val="en-GB"/>
      </w:rPr>
      <w:t>st</w:t>
    </w: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 xml:space="preserve"> - </w:t>
    </w: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>3</w:t>
    </w:r>
    <w:bookmarkEnd w:id="0"/>
    <w:r>
      <w:rPr>
        <w:rFonts w:ascii="Times New Roman" w:hAnsi="Times New Roman"/>
        <w:b/>
        <w:bCs/>
        <w:i/>
        <w:color w:val="000000"/>
        <w:sz w:val="18"/>
        <w:szCs w:val="18"/>
        <w:vertAlign w:val="superscript"/>
        <w:lang w:val="en-GB"/>
      </w:rPr>
      <w:t>rd</w:t>
    </w: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 xml:space="preserve"> </w:t>
    </w: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>March</w:t>
    </w: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>, 202</w:t>
    </w: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>8</w:t>
    </w:r>
    <w:r>
      <w:rPr>
        <w:rFonts w:ascii="Times New Roman" w:hAnsi="Times New Roman"/>
        <w:b/>
        <w:bCs/>
        <w:i/>
        <w:color w:val="000000"/>
        <w:sz w:val="18"/>
        <w:szCs w:val="18"/>
        <w:lang w:val="en-GB"/>
      </w:rPr>
      <w:t>, Cape Town, South Africa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8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oto Sans CJK SC Regular" w:cs="FreeSans"/>
      <w:color w:val="00000A"/>
      <w:kern w:val="0"/>
      <w:sz w:val="24"/>
      <w:szCs w:val="24"/>
      <w:lang w:val="en-US" w:eastAsia="zh-CN" w:bidi="hi-IN"/>
    </w:rPr>
  </w:style>
  <w:style w:type="paragraph" w:styleId="Heading1">
    <w:name w:val="Heading 1"/>
    <w:basedOn w:val="Heading"/>
    <w:qFormat/>
    <w:pPr>
      <w:numPr>
        <w:ilvl w:val="0"/>
        <w:numId w:val="1"/>
      </w:numPr>
      <w:spacing w:before="240" w:after="120"/>
      <w:ind w:left="0" w:hanging="0"/>
      <w:outlineLvl w:val="0"/>
    </w:pPr>
    <w:rPr>
      <w:b/>
      <w:bCs/>
      <w:sz w:val="36"/>
      <w:szCs w:val="36"/>
    </w:rPr>
  </w:style>
  <w:style w:type="character" w:styleId="NumberingSymbols">
    <w:name w:val="Numbering Symbols"/>
    <w:qFormat/>
    <w:rPr/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Title">
    <w:name w:val="Title"/>
    <w:basedOn w:val="Heading"/>
    <w:qFormat/>
    <w:pPr>
      <w:jc w:val="center"/>
    </w:pPr>
    <w:rPr>
      <w:b/>
      <w:bCs/>
      <w:sz w:val="56"/>
      <w:szCs w:val="56"/>
    </w:rPr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oto Sans Mono CJK SC" w:cs="Liberation Mono"/>
      <w:sz w:val="20"/>
      <w:szCs w:val="20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africomp@uct.ac.za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15</TotalTime>
  <Application>LibreOffice/7.3.7.2$Linux_X86_64 LibreOffice_project/30$Build-2</Application>
  <AppVersion>15.0000</AppVersion>
  <Pages>1</Pages>
  <Words>275</Words>
  <Characters>1434</Characters>
  <CharactersWithSpaces>1687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2019-06-16T22:00:01Z</dcterms:created>
  <dc:creator/>
  <dc:description/>
  <dc:language>en-US</dc:language>
  <cp:lastModifiedBy>Sebastian Skatulla</cp:lastModifiedBy>
  <dcterms:modified xsi:type="dcterms:W3CDTF">2026-06-05T11:20:46Z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